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1A3C60" w:rsidP="009D0B43" w14:paraId="67223926" w14:textId="77777777">
      <w:pPr>
        <w:spacing w:before="0" w:after="0"/>
        <w:ind w:left="-142" w:right="-612"/>
        <w:rPr>
          <w:rFonts w:ascii="Poppins" w:hAnsi="Poppins" w:cs="Poppins"/>
          <w:b/>
          <w:bCs/>
          <w:sz w:val="32"/>
          <w:szCs w:val="32"/>
        </w:rPr>
      </w:pPr>
      <w:r>
        <w:rPr>
          <w:rFonts w:ascii="Poppins" w:hAnsi="Poppins" w:cs="Poppins"/>
          <w:b/>
          <w:bCs/>
          <w:sz w:val="32"/>
          <w:szCs w:val="32"/>
        </w:rPr>
        <w:t>Improving Aviation Competition</w:t>
      </w:r>
      <w:r w:rsidRPr="0097405B">
        <w:rPr>
          <w:rFonts w:ascii="Poppins" w:hAnsi="Poppins" w:cs="Poppins"/>
          <w:b/>
          <w:bCs/>
          <w:sz w:val="32"/>
          <w:szCs w:val="32"/>
        </w:rPr>
        <w:t xml:space="preserve"> </w:t>
      </w:r>
      <w:r>
        <w:rPr>
          <w:rFonts w:ascii="Poppins" w:hAnsi="Poppins" w:cs="Poppins"/>
          <w:b/>
          <w:bCs/>
          <w:sz w:val="32"/>
          <w:szCs w:val="32"/>
        </w:rPr>
        <w:t>–</w:t>
      </w:r>
    </w:p>
    <w:p w:rsidR="001A3C60" w:rsidRPr="00E31F5C" w:rsidP="009D0B43" w14:paraId="26F7448B" w14:textId="77777777">
      <w:pPr>
        <w:spacing w:before="0" w:after="0"/>
        <w:ind w:left="-142" w:right="-612"/>
        <w:rPr>
          <w:rFonts w:ascii="Poppins" w:hAnsi="Poppins" w:cs="Poppins"/>
          <w:b/>
          <w:bCs/>
          <w:sz w:val="30"/>
          <w:szCs w:val="30"/>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382270</wp:posOffset>
                </wp:positionV>
                <wp:extent cx="7572375" cy="973455"/>
                <wp:effectExtent l="0" t="0" r="9525" b="0"/>
                <wp:wrapNone/>
                <wp:docPr id="1732353399" name="Rectangle 173235339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973455"/>
                        </a:xfrm>
                        <a:prstGeom prst="rect">
                          <a:avLst/>
                        </a:prstGeom>
                        <a:solidFill>
                          <a:schemeClr val="tx1"/>
                        </a:solidFill>
                        <a:ln w="6350">
                          <a:noFill/>
                          <a:prstDash val="solid"/>
                          <a:miter lim="800000"/>
                        </a:ln>
                        <a:effectLst/>
                      </wps:spPr>
                      <wps:txbx>
                        <w:txbxContent>
                          <w:p w:rsidR="001A3C60"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Cooper</w:t>
                            </w:r>
                            <w:r w:rsidRPr="00EB7579">
                              <w:rPr>
                                <w:b/>
                                <w:bCs/>
                                <w:color w:val="FFFFFF" w:themeColor="background1"/>
                                <w:sz w:val="22"/>
                              </w:rPr>
                              <w:t xml:space="preserve"> supporting </w:t>
                            </w:r>
                            <w:r w:rsidRPr="00BB3526">
                              <w:rPr>
                                <w:b/>
                                <w:bCs/>
                                <w:noProof/>
                                <w:color w:val="FFFFFF" w:themeColor="background1"/>
                                <w:sz w:val="22"/>
                              </w:rPr>
                              <w:t>16</w:t>
                            </w:r>
                            <w:r w:rsidRPr="00EB7579">
                              <w:rPr>
                                <w:b/>
                                <w:bCs/>
                                <w:color w:val="FFFFFF" w:themeColor="background1"/>
                                <w:sz w:val="22"/>
                              </w:rPr>
                              <w:t xml:space="preserve"> staff</w:t>
                            </w:r>
                            <w:r>
                              <w:rPr>
                                <w:b/>
                                <w:bCs/>
                                <w:color w:val="FFFFFF" w:themeColor="background1"/>
                                <w:sz w:val="22"/>
                              </w:rPr>
                              <w:t>.</w:t>
                            </w:r>
                          </w:p>
                          <w:p w:rsidR="001A3C60" w:rsidRPr="007666D8" w:rsidP="00766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32353399" o:spid="_x0000_s1025" type="#_x0000_t202" style="width:596.25pt;height:76.65pt;margin-top:30.1pt;margin-left:0;mso-height-percent:0;mso-height-relative:margin;mso-position-horizontal:right;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1A3C60" w:rsidRPr="00AF54A1" w:rsidP="006426D3" w14:paraId="2482C2F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1A3C60" w:rsidP="006426D3" w14:paraId="477DD32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BB3526">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EB7579">
                        <w:rPr>
                          <w:b/>
                          <w:bCs/>
                          <w:color w:val="FFFFFF" w:themeColor="background1"/>
                          <w:sz w:val="22"/>
                        </w:rPr>
                        <w:t xml:space="preserve">businesses in </w:t>
                      </w:r>
                      <w:r w:rsidRPr="00BB3526">
                        <w:rPr>
                          <w:b/>
                          <w:bCs/>
                          <w:noProof/>
                          <w:color w:val="FFFFFF" w:themeColor="background1"/>
                          <w:sz w:val="22"/>
                        </w:rPr>
                        <w:t>Cooper</w:t>
                      </w:r>
                      <w:r w:rsidRPr="00EB7579">
                        <w:rPr>
                          <w:b/>
                          <w:bCs/>
                          <w:color w:val="FFFFFF" w:themeColor="background1"/>
                          <w:sz w:val="22"/>
                        </w:rPr>
                        <w:t xml:space="preserve"> supporting </w:t>
                      </w:r>
                      <w:r w:rsidRPr="00BB3526">
                        <w:rPr>
                          <w:b/>
                          <w:bCs/>
                          <w:noProof/>
                          <w:color w:val="FFFFFF" w:themeColor="background1"/>
                          <w:sz w:val="22"/>
                        </w:rPr>
                        <w:t>16</w:t>
                      </w:r>
                      <w:r w:rsidRPr="00EB7579">
                        <w:rPr>
                          <w:b/>
                          <w:bCs/>
                          <w:color w:val="FFFFFF" w:themeColor="background1"/>
                          <w:sz w:val="22"/>
                        </w:rPr>
                        <w:t xml:space="preserve"> staff</w:t>
                      </w:r>
                      <w:r>
                        <w:rPr>
                          <w:b/>
                          <w:bCs/>
                          <w:color w:val="FFFFFF" w:themeColor="background1"/>
                          <w:sz w:val="22"/>
                        </w:rPr>
                        <w:t>.</w:t>
                      </w:r>
                    </w:p>
                    <w:p w:rsidR="001A3C60" w:rsidRPr="007666D8" w:rsidP="007666D8" w14:paraId="411B123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txbxContent>
                </v:textbox>
              </v:shape>
            </w:pict>
          </mc:Fallback>
        </mc:AlternateContent>
      </w:r>
      <w:r w:rsidRPr="00E31F5C">
        <w:rPr>
          <w:rFonts w:ascii="Poppins" w:hAnsi="Poppins" w:cs="Poppins"/>
          <w:b/>
          <w:bCs/>
          <w:sz w:val="30"/>
          <w:szCs w:val="30"/>
        </w:rPr>
        <w:t xml:space="preserve">Lower Prices, More Choice, Stronger Communities </w:t>
      </w:r>
    </w:p>
    <w:p w:rsidR="001A3C60" w:rsidP="00991BC2" w14:paraId="770D44E3" w14:textId="77777777">
      <w:pPr>
        <w:ind w:right="95"/>
        <w:rPr>
          <w:rFonts w:ascii="Poppins" w:hAnsi="Poppins" w:cs="Poppins"/>
          <w:b/>
          <w:bCs/>
          <w:sz w:val="32"/>
          <w:szCs w:val="32"/>
        </w:rPr>
      </w:pPr>
    </w:p>
    <w:p w:rsidR="001A3C60" w:rsidP="00991BC2" w14:paraId="5318A1BD" w14:textId="77777777">
      <w:pPr>
        <w:ind w:left="-142" w:right="95"/>
        <w:rPr>
          <w:rFonts w:ascii="Poppins" w:hAnsi="Poppins" w:cs="Poppins"/>
          <w:b/>
          <w:bCs/>
          <w:sz w:val="32"/>
          <w:szCs w:val="32"/>
        </w:rPr>
      </w:pPr>
    </w:p>
    <w:tbl>
      <w:tblPr>
        <w:tblStyle w:val="TableGrid"/>
        <w:tblpPr w:leftFromText="180" w:rightFromText="180" w:vertAnchor="text" w:horzAnchor="margin" w:tblpXSpec="center" w:tblpY="733"/>
        <w:tblW w:w="10632" w:type="dxa"/>
        <w:tblInd w:w="0" w:type="dxa"/>
        <w:tblLook w:val="04A0"/>
      </w:tblPr>
      <w:tblGrid>
        <w:gridCol w:w="10632"/>
      </w:tblGrid>
      <w:tr w14:paraId="3DBD5467" w14:textId="77777777" w:rsidTr="00E34333">
        <w:tblPrEx>
          <w:tblW w:w="10632" w:type="dxa"/>
          <w:tblInd w:w="0" w:type="dxa"/>
          <w:tblLook w:val="04A0"/>
        </w:tblPrEx>
        <w:trPr>
          <w:trHeight w:val="3683"/>
        </w:trPr>
        <w:tc>
          <w:tcPr>
            <w:tcW w:w="10632" w:type="dxa"/>
            <w:tcBorders>
              <w:top w:val="nil"/>
              <w:left w:val="nil"/>
              <w:bottom w:val="nil"/>
              <w:right w:val="nil"/>
            </w:tcBorders>
            <w:shd w:val="clear" w:color="auto" w:fill="DDF3F4"/>
          </w:tcPr>
          <w:p w:rsidR="001A3C60" w:rsidRPr="00EC1C04" w:rsidP="00D1123D" w14:paraId="7301B170"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Rising Aviation Costs and Fewer Options Hit </w:t>
            </w:r>
            <w:r w:rsidRPr="00BB3526">
              <w:rPr>
                <w:rFonts w:eastAsia="Cambria" w:cs="Calibri"/>
                <w:b/>
                <w:bCs/>
                <w:noProof/>
                <w:sz w:val="27"/>
                <w:szCs w:val="27"/>
                <w:lang w:val="en-AU"/>
              </w:rPr>
              <w:t>Cooper</w:t>
            </w:r>
            <w:r w:rsidRPr="00EC1C04">
              <w:rPr>
                <w:rFonts w:eastAsia="Cambria" w:cs="Calibri"/>
                <w:b/>
                <w:bCs/>
                <w:sz w:val="27"/>
                <w:szCs w:val="27"/>
                <w:lang w:val="en-AU"/>
              </w:rPr>
              <w:t xml:space="preserve"> Hard</w:t>
            </w:r>
          </w:p>
          <w:p w:rsidR="001A3C60" w:rsidP="000E25D5" w14:paraId="23011777" w14:textId="77777777">
            <w:pPr>
              <w:spacing w:before="0" w:after="160" w:line="278" w:lineRule="auto"/>
              <w:rPr>
                <w:sz w:val="22"/>
              </w:rPr>
            </w:pPr>
            <w:r>
              <w:rPr>
                <w:sz w:val="22"/>
              </w:rPr>
              <w:t xml:space="preserve">In </w:t>
            </w:r>
            <w:r w:rsidRPr="00BB3526">
              <w:rPr>
                <w:noProof/>
                <w:sz w:val="22"/>
              </w:rPr>
              <w:t>Cooper</w:t>
            </w:r>
            <w:r>
              <w:rPr>
                <w:sz w:val="22"/>
              </w:rPr>
              <w:t xml:space="preserve">, families and businesses are feeling the pinch of a broken aviation market. The ACCC warns that weak competition has left Australians with soaring airfares, patchy service, and reduced connectivity. Reduced competition means </w:t>
            </w:r>
            <w:r w:rsidRPr="000D1D28">
              <w:rPr>
                <w:b/>
                <w:bCs/>
                <w:sz w:val="22"/>
              </w:rPr>
              <w:t xml:space="preserve">Australian </w:t>
            </w:r>
            <w:r w:rsidRPr="00D17BDB">
              <w:rPr>
                <w:b/>
                <w:bCs/>
                <w:sz w:val="22"/>
              </w:rPr>
              <w:t>travellers are paying more for less.</w:t>
            </w:r>
            <w:r>
              <w:rPr>
                <w:sz w:val="22"/>
              </w:rPr>
              <w:t xml:space="preserve"> </w:t>
            </w:r>
          </w:p>
          <w:p w:rsidR="001A3C60" w:rsidRPr="00D17BDB" w:rsidP="00D17BDB" w14:paraId="7BEDFAC8" w14:textId="77777777">
            <w:pPr>
              <w:spacing w:before="0" w:after="160" w:line="278" w:lineRule="auto"/>
              <w:rPr>
                <w:b/>
                <w:bCs/>
                <w:sz w:val="22"/>
              </w:rPr>
            </w:pPr>
            <w:r>
              <w:rPr>
                <w:sz w:val="22"/>
              </w:rPr>
              <w:t xml:space="preserve">Two airline groups now dominate over 98% of domestic passengers following the decline of Bonza and Rex. </w:t>
            </w:r>
            <w:r w:rsidRPr="00A221C9">
              <w:rPr>
                <w:b/>
                <w:bCs/>
                <w:sz w:val="22"/>
              </w:rPr>
              <w:t>Airfares spiked – up 13% nationally, with some key routes soaring 95%.</w:t>
            </w:r>
            <w:r>
              <w:rPr>
                <w:sz w:val="22"/>
              </w:rPr>
              <w:t xml:space="preserve"> </w:t>
            </w:r>
            <w:r w:rsidRPr="00D17BDB">
              <w:rPr>
                <w:sz w:val="22"/>
              </w:rPr>
              <w:t xml:space="preserve">When three airlines compete, fares drop by up to 50% – </w:t>
            </w:r>
            <w:r>
              <w:rPr>
                <w:sz w:val="22"/>
              </w:rPr>
              <w:t xml:space="preserve">yet no route in Australia has that today. </w:t>
            </w:r>
            <w:r w:rsidRPr="00D17BDB">
              <w:rPr>
                <w:sz w:val="22"/>
              </w:rPr>
              <w:t xml:space="preserve"> </w:t>
            </w:r>
          </w:p>
          <w:p w:rsidR="001A3C60" w:rsidP="00D17BDB" w14:paraId="73BAC097" w14:textId="77777777">
            <w:pPr>
              <w:spacing w:before="0" w:after="160" w:line="278" w:lineRule="auto"/>
              <w:rPr>
                <w:sz w:val="22"/>
              </w:rPr>
            </w:pPr>
            <w:r w:rsidRPr="00D17BDB">
              <w:rPr>
                <w:sz w:val="22"/>
              </w:rPr>
              <w:t xml:space="preserve">Internationally, </w:t>
            </w:r>
            <w:r>
              <w:rPr>
                <w:sz w:val="22"/>
              </w:rPr>
              <w:t xml:space="preserve">without appropriate scrutiny and safeguards, code-share deals can entrench market power of the dominant airlines, limiting choice and driving up costs for travellers. </w:t>
            </w:r>
            <w:r w:rsidRPr="00D17BDB">
              <w:rPr>
                <w:sz w:val="22"/>
              </w:rPr>
              <w:t>For example, 52% of AUS-UK flights and 37% of Europe fares are dominated by one partnership.</w:t>
            </w:r>
          </w:p>
          <w:p w:rsidR="001A3C60" w:rsidRPr="0033655F" w:rsidP="000E25D5" w14:paraId="5E7B5D76" w14:textId="77777777">
            <w:pPr>
              <w:spacing w:before="0" w:after="160" w:line="278" w:lineRule="auto"/>
              <w:rPr>
                <w:sz w:val="22"/>
              </w:rPr>
            </w:pPr>
            <w:r>
              <w:rPr>
                <w:sz w:val="22"/>
              </w:rPr>
              <w:t xml:space="preserve">A lack of competition also impacts connectivity and can isolate the regions: 23 less routes operated in 2024 compared with 2023, a 14% drop. </w:t>
            </w:r>
          </w:p>
        </w:tc>
      </w:tr>
    </w:tbl>
    <w:p w:rsidR="001A3C60" w:rsidRPr="0097405B" w:rsidP="00991BC2" w14:paraId="235BD9C6" w14:textId="77777777">
      <w:pPr>
        <w:ind w:left="-142" w:right="95"/>
        <w:rPr>
          <w:rFonts w:ascii="Poppins" w:hAnsi="Poppins" w:cs="Poppins"/>
          <w:b/>
          <w:bCs/>
          <w:sz w:val="32"/>
          <w:szCs w:val="32"/>
        </w:rPr>
      </w:pPr>
    </w:p>
    <w:p w:rsidR="001A3C60" w:rsidP="00991BC2" w14:paraId="15BE390E" w14:textId="77777777"/>
    <w:p w:rsidR="001A3C60" w:rsidP="00991BC2" w14:paraId="3D9F836F" w14:textId="77777777">
      <w:pPr>
        <w:sectPr w:rsidSect="001A3C60">
          <w:headerReference w:type="default" r:id="rId10"/>
          <w:footerReference w:type="default" r:id="rId11"/>
          <w:pgSz w:w="11906" w:h="16838"/>
          <w:pgMar w:top="720" w:right="720" w:bottom="720" w:left="720" w:header="708" w:footer="113" w:gutter="0"/>
          <w:pgNumType w:start="1"/>
          <w:cols w:space="708"/>
          <w:docGrid w:linePitch="360"/>
        </w:sectPr>
      </w:pPr>
    </w:p>
    <w:p w:rsidR="001A3C60" w:rsidRPr="00287CC7" w:rsidP="007666D8" w14:paraId="2B821FC1" w14:textId="77777777">
      <w:pPr>
        <w:keepNext/>
        <w:keepLines/>
        <w:spacing w:before="0"/>
        <w:outlineLvl w:val="1"/>
        <w:rPr>
          <w:rFonts w:ascii="Roboto Medium" w:eastAsia="MS Gothic" w:hAnsi="Roboto Medium" w:cs="Times New Roman"/>
          <w:color w:val="00AAAC"/>
          <w:sz w:val="27"/>
          <w:szCs w:val="27"/>
          <w:lang w:val="en-GB"/>
        </w:rPr>
      </w:pPr>
      <w:r w:rsidRPr="00287CC7">
        <w:rPr>
          <w:rFonts w:ascii="Roboto Medium" w:eastAsia="MS Gothic" w:hAnsi="Roboto Medium" w:cs="Times New Roman"/>
          <w:color w:val="00AAAC"/>
          <w:sz w:val="27"/>
          <w:szCs w:val="27"/>
          <w:lang w:val="en-GB"/>
        </w:rPr>
        <w:t>The Opportunity: Fairer Av</w:t>
      </w:r>
      <w:r w:rsidRPr="00926EA0">
        <w:rPr>
          <w:rFonts w:ascii="Roboto Medium" w:eastAsia="MS Gothic" w:hAnsi="Roboto Medium" w:cs="Times New Roman"/>
          <w:color w:val="00AAAC"/>
          <w:sz w:val="27"/>
          <w:szCs w:val="27"/>
          <w:lang w:val="en-GB"/>
        </w:rPr>
        <w:t>iation, Better</w:t>
      </w:r>
      <w:r w:rsidRPr="00287CC7">
        <w:rPr>
          <w:rFonts w:ascii="Roboto Medium" w:eastAsia="MS Gothic" w:hAnsi="Roboto Medium" w:cs="Times New Roman"/>
          <w:color w:val="00AAAC"/>
          <w:sz w:val="27"/>
          <w:szCs w:val="27"/>
          <w:lang w:val="en-GB"/>
        </w:rPr>
        <w:t xml:space="preserve"> Outcomes</w:t>
      </w:r>
    </w:p>
    <w:p w:rsidR="001A3C60" w:rsidRPr="00977533" w:rsidP="007666D8" w14:paraId="3A08EE34" w14:textId="77777777">
      <w:pPr>
        <w:keepNext/>
        <w:keepLines/>
        <w:spacing w:after="0"/>
        <w:outlineLvl w:val="1"/>
        <w:rPr>
          <w:b/>
          <w:bCs/>
          <w:szCs w:val="20"/>
        </w:rPr>
      </w:pPr>
      <w:r w:rsidRPr="00977533">
        <w:rPr>
          <w:b/>
          <w:bCs/>
          <w:szCs w:val="20"/>
        </w:rPr>
        <w:t xml:space="preserve">Stronger ACCC Oversight </w:t>
      </w:r>
    </w:p>
    <w:p w:rsidR="001A3C60" w:rsidRPr="00977533" w:rsidP="007666D8" w14:paraId="03A7187C" w14:textId="77777777">
      <w:pPr>
        <w:keepNext/>
        <w:keepLines/>
        <w:spacing w:before="0"/>
        <w:outlineLvl w:val="1"/>
        <w:rPr>
          <w:szCs w:val="20"/>
        </w:rPr>
      </w:pPr>
      <w:r w:rsidRPr="00977533">
        <w:rPr>
          <w:szCs w:val="20"/>
        </w:rPr>
        <w:t>Empowering the ACCC to continue its Domestic Airline Competition Monitoring Reports beyond 2026 will enhance transparency and accountability and ensure faster consumer protection action by the ACCC.</w:t>
      </w:r>
    </w:p>
    <w:p w:rsidR="001A3C60" w:rsidRPr="00977533" w:rsidP="00977533" w14:paraId="3C630D7C" w14:textId="77777777">
      <w:pPr>
        <w:keepNext/>
        <w:keepLines/>
        <w:outlineLvl w:val="1"/>
        <w:rPr>
          <w:szCs w:val="20"/>
        </w:rPr>
      </w:pPr>
      <w:r w:rsidRPr="00977533">
        <w:rPr>
          <w:szCs w:val="20"/>
        </w:rPr>
        <w:t>Extending this to include international air services on a bi-annual basis in the form of a market concentration study will also benefit Australians travelling internationally.</w:t>
      </w:r>
    </w:p>
    <w:p w:rsidR="001A3C60" w:rsidRPr="00977533" w:rsidP="007666D8" w14:paraId="3F092FFB" w14:textId="77777777">
      <w:pPr>
        <w:keepNext/>
        <w:keepLines/>
        <w:spacing w:after="0"/>
        <w:outlineLvl w:val="1"/>
        <w:rPr>
          <w:b/>
          <w:bCs/>
          <w:szCs w:val="20"/>
        </w:rPr>
      </w:pPr>
      <w:r w:rsidRPr="00977533">
        <w:rPr>
          <w:b/>
          <w:bCs/>
          <w:szCs w:val="20"/>
        </w:rPr>
        <w:t>Transparency &amp; Fairness in Air Service Agreements</w:t>
      </w:r>
    </w:p>
    <w:p w:rsidR="001A3C60" w:rsidP="007666D8" w14:paraId="5E82732B" w14:textId="77777777">
      <w:pPr>
        <w:spacing w:before="0"/>
        <w:rPr>
          <w:szCs w:val="20"/>
        </w:rPr>
      </w:pPr>
      <w:r w:rsidRPr="00977533">
        <w:rPr>
          <w:szCs w:val="20"/>
        </w:rPr>
        <w:t xml:space="preserve">A more transparent and fair policy of negotiating bilateral air service agreements (BASAs) that genuinely provides capacity ahead of demand will allow for adaption to demand variation and positively impact consumer choice and airfare prices. </w:t>
      </w:r>
    </w:p>
    <w:p w:rsidR="001A3C60" w:rsidRPr="00977533" w:rsidP="00977533" w14:paraId="4D89214C" w14:textId="77777777">
      <w:pPr>
        <w:spacing w:before="160" w:after="160"/>
        <w:rPr>
          <w:szCs w:val="20"/>
        </w:rPr>
      </w:pPr>
      <w:r w:rsidRPr="00977533">
        <w:rPr>
          <w:szCs w:val="20"/>
        </w:rPr>
        <w:t>Decisions on BASAs should be based on a clear, defined national interest. A framework based on the FIRB should be established, and there should be a role for the ACCC to review and publicly release its assessment of the consumer benefits. The ultimate decision and rational must be made public to ensure transparency.</w:t>
      </w:r>
    </w:p>
    <w:p w:rsidR="001A3C60" w:rsidRPr="009956E9" w:rsidP="00977533" w14:paraId="20CF30EF" w14:textId="77777777">
      <w:pPr>
        <w:keepNext/>
        <w:keepLines/>
        <w:outlineLvl w:val="1"/>
        <w:rPr>
          <w:rFonts w:ascii="Roboto Medium" w:eastAsia="MS Gothic" w:hAnsi="Roboto Medium" w:cs="Times New Roman"/>
          <w:color w:val="00AAAC"/>
          <w:sz w:val="27"/>
          <w:szCs w:val="27"/>
          <w:lang w:val="en-GB"/>
        </w:rPr>
      </w:pPr>
      <w:r>
        <w:rPr>
          <w:rFonts w:ascii="Roboto Medium" w:eastAsia="MS Gothic" w:hAnsi="Roboto Medium" w:cs="Times New Roman"/>
          <w:color w:val="00AAAC"/>
          <w:sz w:val="27"/>
          <w:szCs w:val="27"/>
          <w:lang w:val="en-GB"/>
        </w:rPr>
        <w:t>Here’s What Your Support Delivers</w:t>
      </w:r>
    </w:p>
    <w:p w:rsidR="001A3C60" w:rsidRPr="00EB7579" w:rsidP="007666D8" w14:paraId="47950FE0" w14:textId="77777777">
      <w:pPr>
        <w:spacing w:before="160" w:after="0"/>
        <w:rPr>
          <w:b/>
          <w:bCs/>
          <w:sz w:val="19"/>
          <w:szCs w:val="19"/>
          <w:lang w:val="en-AU"/>
        </w:rPr>
      </w:pPr>
      <w:r w:rsidRPr="00EB7579">
        <w:rPr>
          <w:b/>
          <w:bCs/>
          <w:sz w:val="19"/>
          <w:szCs w:val="19"/>
          <w:lang w:val="en-AU"/>
        </w:rPr>
        <w:t>Affordable Travel</w:t>
      </w:r>
    </w:p>
    <w:p w:rsidR="001A3C60" w:rsidRPr="00EB7579" w:rsidP="007666D8" w14:paraId="3C8ED00E" w14:textId="77777777">
      <w:pPr>
        <w:spacing w:before="0" w:after="160"/>
        <w:rPr>
          <w:sz w:val="19"/>
          <w:szCs w:val="19"/>
          <w:lang w:val="en-AU"/>
        </w:rPr>
      </w:pPr>
      <w:r w:rsidRPr="00EB7579">
        <w:rPr>
          <w:sz w:val="19"/>
          <w:szCs w:val="19"/>
          <w:lang w:val="en-AU"/>
        </w:rPr>
        <w:t xml:space="preserve">Lower airfares ease the cost-of-living burden for families in </w:t>
      </w:r>
      <w:r w:rsidRPr="00BB3526">
        <w:rPr>
          <w:noProof/>
          <w:sz w:val="19"/>
          <w:szCs w:val="19"/>
          <w:lang w:val="en-AU"/>
        </w:rPr>
        <w:t>Cooper</w:t>
      </w:r>
      <w:r w:rsidRPr="00EB7579">
        <w:rPr>
          <w:sz w:val="19"/>
          <w:szCs w:val="19"/>
          <w:lang w:val="en-AU"/>
        </w:rPr>
        <w:t>, keeping more money in their pockets.</w:t>
      </w:r>
    </w:p>
    <w:p w:rsidR="001A3C60" w:rsidRPr="00EB7579" w:rsidP="007666D8" w14:paraId="4DD06E18" w14:textId="77777777">
      <w:pPr>
        <w:spacing w:before="160" w:after="0"/>
        <w:rPr>
          <w:b/>
          <w:bCs/>
          <w:sz w:val="19"/>
          <w:szCs w:val="19"/>
          <w:lang w:val="en-AU"/>
        </w:rPr>
      </w:pPr>
      <w:r w:rsidRPr="00EB7579">
        <w:rPr>
          <w:b/>
          <w:bCs/>
          <w:sz w:val="19"/>
          <w:szCs w:val="19"/>
          <w:lang w:val="en-AU"/>
        </w:rPr>
        <w:t>Enhanced Connectivity</w:t>
      </w:r>
    </w:p>
    <w:p w:rsidR="001A3C60" w:rsidRPr="007666D8" w:rsidP="007666D8" w14:paraId="501C73B9" w14:textId="77777777">
      <w:pPr>
        <w:spacing w:before="0" w:after="160"/>
        <w:rPr>
          <w:sz w:val="19"/>
          <w:szCs w:val="19"/>
          <w:lang w:val="en-AU"/>
        </w:rPr>
      </w:pPr>
      <w:r w:rsidRPr="00EB7579">
        <w:rPr>
          <w:sz w:val="19"/>
          <w:szCs w:val="19"/>
          <w:lang w:val="en-AU"/>
        </w:rPr>
        <w:t>More competition restores</w:t>
      </w:r>
      <w:r w:rsidRPr="007666D8">
        <w:rPr>
          <w:sz w:val="19"/>
          <w:szCs w:val="19"/>
          <w:lang w:val="en-AU"/>
        </w:rPr>
        <w:t xml:space="preserve"> and expands flight options, linking Australia’s regional towns to cities and markets. This is vital to counter the 14% drop in routes last year. </w:t>
      </w:r>
    </w:p>
    <w:p w:rsidR="001A3C60" w:rsidRPr="007666D8" w:rsidP="007666D8" w14:paraId="6E905459" w14:textId="77777777">
      <w:pPr>
        <w:spacing w:before="160" w:after="0"/>
        <w:rPr>
          <w:b/>
          <w:bCs/>
          <w:sz w:val="19"/>
          <w:szCs w:val="19"/>
          <w:lang w:val="en-AU"/>
        </w:rPr>
      </w:pPr>
      <w:r w:rsidRPr="007666D8">
        <w:rPr>
          <w:b/>
          <w:bCs/>
          <w:sz w:val="19"/>
          <w:szCs w:val="19"/>
          <w:lang w:val="en-AU"/>
        </w:rPr>
        <w:t>Less Delays, Cancellations &amp; Complaints</w:t>
      </w:r>
    </w:p>
    <w:p w:rsidR="001A3C60" w:rsidRPr="007666D8" w:rsidP="007666D8" w14:paraId="3200D9DC" w14:textId="77777777">
      <w:pPr>
        <w:spacing w:before="0" w:after="160"/>
        <w:rPr>
          <w:sz w:val="19"/>
          <w:szCs w:val="19"/>
          <w:lang w:val="en-AU"/>
        </w:rPr>
      </w:pPr>
      <w:r w:rsidRPr="007666D8">
        <w:rPr>
          <w:sz w:val="19"/>
          <w:szCs w:val="19"/>
          <w:lang w:val="en-AU"/>
        </w:rPr>
        <w:t>More competition means better consumer outcomes and less disgruntled Australians escalating complaints.</w:t>
      </w:r>
    </w:p>
    <w:p w:rsidR="001A3C60" w:rsidRPr="007666D8" w:rsidP="00977533" w14:paraId="65B2ACC1" w14:textId="77777777">
      <w:pPr>
        <w:keepNext/>
        <w:keepLines/>
        <w:spacing w:before="0" w:after="0"/>
        <w:ind w:right="578"/>
        <w:outlineLvl w:val="1"/>
        <w:rPr>
          <w:sz w:val="19"/>
          <w:szCs w:val="19"/>
        </w:rPr>
      </w:pPr>
      <w:r w:rsidRPr="007666D8">
        <w:rPr>
          <w:sz w:val="19"/>
          <w:szCs w:val="19"/>
        </w:rPr>
        <w:t>ATIA’s free, robust, independent dispute resolution program in partnership with the Consumers’ Federation of Australia ensures any consumer issues are resolved fairly – no external escalation needed.</w:t>
      </w:r>
    </w:p>
    <w:p w:rsidR="001A3C60" w:rsidP="00991BC2" w14:paraId="129A4E2B" w14:textId="77777777"/>
    <w:p w:rsidR="001A3C60" w:rsidP="00991BC2" w14:paraId="44B58A3B" w14:textId="77777777">
      <w:r w:rsidRPr="00F10678">
        <w:rPr>
          <w:rFonts w:eastAsia="Cambria" w:cs="Calibri"/>
          <w:noProof/>
          <w:lang w:val="en-AU"/>
        </w:rPr>
        <mc:AlternateContent>
          <mc:Choice Requires="wps">
            <w:drawing>
              <wp:anchor distT="0" distB="0" distL="114300" distR="114300" simplePos="0" relativeHeight="251661312" behindDoc="0" locked="0" layoutInCell="1" allowOverlap="1">
                <wp:simplePos x="0" y="0"/>
                <wp:positionH relativeFrom="column">
                  <wp:align>left</wp:align>
                </wp:positionH>
                <wp:positionV relativeFrom="paragraph">
                  <wp:posOffset>15603</wp:posOffset>
                </wp:positionV>
                <wp:extent cx="3559695" cy="1045210"/>
                <wp:effectExtent l="0" t="0" r="3175" b="2540"/>
                <wp:wrapNone/>
                <wp:docPr id="378399215" name="Rectangle 378399215"/>
                <wp:cNvGraphicFramePr/>
                <a:graphic xmlns:a="http://schemas.openxmlformats.org/drawingml/2006/main">
                  <a:graphicData uri="http://schemas.microsoft.com/office/word/2010/wordprocessingShape">
                    <wps:wsp xmlns:wps="http://schemas.microsoft.com/office/word/2010/wordprocessingShape">
                      <wps:cNvSpPr/>
                      <wps:spPr>
                        <a:xfrm>
                          <a:off x="0" y="0"/>
                          <a:ext cx="3559695" cy="1045210"/>
                        </a:xfrm>
                        <a:prstGeom prst="rect">
                          <a:avLst/>
                        </a:prstGeom>
                        <a:solidFill>
                          <a:srgbClr val="F25924"/>
                        </a:solidFill>
                        <a:ln w="9525">
                          <a:noFill/>
                          <a:prstDash val="solid"/>
                        </a:ln>
                        <a:effectLst/>
                      </wps:spPr>
                      <wps:txbx>
                        <w:txbxContent>
                          <w:p w:rsidR="001A3C60" w:rsidP="00632B24"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textId="77777777">
                            <w:pPr>
                              <w:pStyle w:val="ListParagraph"/>
                              <w:numPr>
                                <w:ilvl w:val="0"/>
                                <w:numId w:val="19"/>
                              </w:numPr>
                              <w:rPr>
                                <w:color w:val="FFFFFF" w:themeColor="background1"/>
                                <w:sz w:val="22"/>
                              </w:rPr>
                            </w:pPr>
                            <w:r>
                              <w:rPr>
                                <w:color w:val="FFFFFF" w:themeColor="background1"/>
                                <w:sz w:val="22"/>
                              </w:rPr>
                              <w:t>ACCC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378399215" o:spid="_x0000_s1026" type="#_x0000_t202" style="width:280.29pt;height:82.3pt;margin-top:1.23pt;margin-left:0;mso-height-percent:0;mso-height-relative:margin;mso-position-horizontal:left;mso-width-percent:0;mso-width-relative:margin;mso-wrap-distance-bottom:0;mso-wrap-distance-left:9pt;mso-wrap-distance-right:9pt;mso-wrap-distance-top:0;position:absolute;v-text-anchor:middle;z-index:251660288" fillcolor="#f25924" stroked="f" strokeweight="0.75pt">
                <v:textbox>
                  <w:txbxContent>
                    <w:p w:rsidR="001A3C60" w:rsidP="00632B24" w14:paraId="31A76B2A" w14:textId="77777777">
                      <w:pPr>
                        <w:rPr>
                          <w:i/>
                          <w:iCs/>
                          <w:color w:val="FFFFFF" w:themeColor="background1"/>
                          <w:sz w:val="21"/>
                          <w:szCs w:val="21"/>
                          <w:lang w:val="en-AU"/>
                        </w:rPr>
                      </w:pPr>
                      <w:r w:rsidRPr="00287CC7">
                        <w:rPr>
                          <w:i/>
                          <w:iCs/>
                          <w:color w:val="FFFFFF" w:themeColor="background1"/>
                          <w:sz w:val="21"/>
                          <w:szCs w:val="21"/>
                          <w:lang w:val="en-AU"/>
                        </w:rPr>
                        <w:t>“the lack of effective competition over the last decade has resulted in underwhelming outcomes for consumers in terms of airfares, reliability of services and customer service”</w:t>
                      </w:r>
                      <w:r>
                        <w:rPr>
                          <w:i/>
                          <w:iCs/>
                          <w:color w:val="FFFFFF" w:themeColor="background1"/>
                          <w:sz w:val="21"/>
                          <w:szCs w:val="21"/>
                          <w:lang w:val="en-AU"/>
                        </w:rPr>
                        <w:t xml:space="preserve"> </w:t>
                      </w:r>
                    </w:p>
                    <w:p w:rsidR="001A3C60" w:rsidRPr="00287CC7" w:rsidP="00287CC7" w14:paraId="7EC6FDE0" w14:textId="77777777">
                      <w:pPr>
                        <w:pStyle w:val="ListParagraph"/>
                        <w:numPr>
                          <w:ilvl w:val="0"/>
                          <w:numId w:val="19"/>
                        </w:numPr>
                        <w:rPr>
                          <w:color w:val="FFFFFF" w:themeColor="background1"/>
                          <w:sz w:val="22"/>
                        </w:rPr>
                      </w:pPr>
                      <w:r>
                        <w:rPr>
                          <w:color w:val="FFFFFF" w:themeColor="background1"/>
                          <w:sz w:val="22"/>
                        </w:rPr>
                        <w:t>ACCC</w:t>
                      </w:r>
                    </w:p>
                  </w:txbxContent>
                </v:textbox>
              </v:shape>
            </w:pict>
          </mc:Fallback>
        </mc:AlternateContent>
      </w:r>
    </w:p>
    <w:p w:rsidR="001A3C60" w:rsidP="00991BC2" w14:paraId="0384E5A2" w14:textId="77777777"/>
    <w:p w:rsidR="001A3C60" w:rsidP="00991BC2" w14:paraId="1C6A366B" w14:textId="77777777"/>
    <w:p w:rsidR="001A3C60" w:rsidP="00991BC2" w14:paraId="31B6740C" w14:textId="77777777">
      <w:pPr>
        <w:sectPr w:rsidSect="001A3C60">
          <w:type w:val="continuous"/>
          <w:pgSz w:w="11906" w:h="16838"/>
          <w:pgMar w:top="720" w:right="720" w:bottom="720" w:left="720" w:header="708" w:footer="708" w:gutter="0"/>
          <w:cols w:num="2" w:space="708"/>
          <w:docGrid w:linePitch="360"/>
        </w:sectPr>
      </w:pPr>
    </w:p>
    <w:p w:rsidR="001A3C60" w:rsidP="00D1123D" w14:paraId="3F8ECDA5" w14:textId="77777777"/>
    <w:sectPr w:rsidSect="001A3C60">
      <w:type w:val="continuous"/>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3026D" w:rsidP="00C11C1A" w14:paraId="0DD5B41C" w14:textId="77777777">
      <w:pPr>
        <w:spacing w:before="0" w:after="0"/>
      </w:pPr>
      <w:r>
        <w:separator/>
      </w:r>
    </w:p>
  </w:endnote>
  <w:endnote w:type="continuationSeparator" w:id="1">
    <w:p w:rsidR="0003026D" w:rsidP="00C11C1A" w14:paraId="61FDAB14" w14:textId="77777777">
      <w:pPr>
        <w:spacing w:before="0" w:after="0"/>
      </w:pPr>
      <w:r>
        <w:continuationSeparator/>
      </w:r>
    </w:p>
  </w:endnote>
  <w:endnote w:type="continuationNotice" w:id="2">
    <w:p w:rsidR="0003026D" w14:paraId="170E2E80"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rsidRPr="007666D8" w:rsidP="007666D8" w14:paraId="4A59BD97"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3026D" w:rsidP="00C11C1A" w14:paraId="31CC0267" w14:textId="77777777">
      <w:pPr>
        <w:spacing w:before="0" w:after="0"/>
      </w:pPr>
      <w:r>
        <w:separator/>
      </w:r>
    </w:p>
  </w:footnote>
  <w:footnote w:type="continuationSeparator" w:id="1">
    <w:p w:rsidR="0003026D" w:rsidP="00C11C1A" w14:paraId="5C567E17" w14:textId="77777777">
      <w:pPr>
        <w:spacing w:before="0" w:after="0"/>
      </w:pPr>
      <w:r>
        <w:continuationSeparator/>
      </w:r>
    </w:p>
  </w:footnote>
  <w:footnote w:type="continuationNotice" w:id="2">
    <w:p w:rsidR="0003026D" w14:paraId="38FA510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A3C60" w14:paraId="34F2618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8713301" name="Picture 13871330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1330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3"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0"/>
  </w:num>
  <w:num w:numId="2" w16cid:durableId="1874923242">
    <w:abstractNumId w:val="12"/>
  </w:num>
  <w:num w:numId="3" w16cid:durableId="463081271">
    <w:abstractNumId w:val="16"/>
  </w:num>
  <w:num w:numId="4" w16cid:durableId="981154860">
    <w:abstractNumId w:val="9"/>
  </w:num>
  <w:num w:numId="5" w16cid:durableId="1941789728">
    <w:abstractNumId w:val="18"/>
  </w:num>
  <w:num w:numId="6" w16cid:durableId="1202939667">
    <w:abstractNumId w:val="6"/>
  </w:num>
  <w:num w:numId="7" w16cid:durableId="800657080">
    <w:abstractNumId w:val="15"/>
  </w:num>
  <w:num w:numId="8" w16cid:durableId="1449162479">
    <w:abstractNumId w:val="2"/>
  </w:num>
  <w:num w:numId="9" w16cid:durableId="750467180">
    <w:abstractNumId w:val="11"/>
  </w:num>
  <w:num w:numId="10" w16cid:durableId="1653412385">
    <w:abstractNumId w:val="8"/>
  </w:num>
  <w:num w:numId="11" w16cid:durableId="1490560788">
    <w:abstractNumId w:val="17"/>
  </w:num>
  <w:num w:numId="12" w16cid:durableId="1482505344">
    <w:abstractNumId w:val="7"/>
  </w:num>
  <w:num w:numId="13" w16cid:durableId="242685079">
    <w:abstractNumId w:val="4"/>
  </w:num>
  <w:num w:numId="14" w16cid:durableId="175658985">
    <w:abstractNumId w:val="14"/>
  </w:num>
  <w:num w:numId="15" w16cid:durableId="1975790427">
    <w:abstractNumId w:val="0"/>
  </w:num>
  <w:num w:numId="16" w16cid:durableId="715739921">
    <w:abstractNumId w:val="1"/>
  </w:num>
  <w:num w:numId="17" w16cid:durableId="851839262">
    <w:abstractNumId w:val="10"/>
  </w:num>
  <w:num w:numId="18" w16cid:durableId="834223303">
    <w:abstractNumId w:val="10"/>
  </w:num>
  <w:num w:numId="19" w16cid:durableId="1395466135">
    <w:abstractNumId w:val="3"/>
  </w:num>
  <w:num w:numId="20" w16cid:durableId="1259829434">
    <w:abstractNumId w:val="13"/>
  </w:num>
  <w:num w:numId="21"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3026D"/>
    <w:rsid w:val="0003229D"/>
    <w:rsid w:val="0003629F"/>
    <w:rsid w:val="00042B22"/>
    <w:rsid w:val="00047888"/>
    <w:rsid w:val="00051292"/>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28E1"/>
    <w:rsid w:val="00192F78"/>
    <w:rsid w:val="00197865"/>
    <w:rsid w:val="001A1C6B"/>
    <w:rsid w:val="001A1F6B"/>
    <w:rsid w:val="001A3C60"/>
    <w:rsid w:val="001B17F5"/>
    <w:rsid w:val="001B1822"/>
    <w:rsid w:val="001C18FF"/>
    <w:rsid w:val="001C39C0"/>
    <w:rsid w:val="001D06F8"/>
    <w:rsid w:val="001D091D"/>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327D"/>
    <w:rsid w:val="002B50CF"/>
    <w:rsid w:val="002B5766"/>
    <w:rsid w:val="002B710D"/>
    <w:rsid w:val="002B7A86"/>
    <w:rsid w:val="002C5CCF"/>
    <w:rsid w:val="002D5220"/>
    <w:rsid w:val="002D54A5"/>
    <w:rsid w:val="002D5FE7"/>
    <w:rsid w:val="002D6ED2"/>
    <w:rsid w:val="002E6230"/>
    <w:rsid w:val="00304EA3"/>
    <w:rsid w:val="0030553A"/>
    <w:rsid w:val="003070FC"/>
    <w:rsid w:val="00310DDB"/>
    <w:rsid w:val="00322EC8"/>
    <w:rsid w:val="00331486"/>
    <w:rsid w:val="00332F60"/>
    <w:rsid w:val="00334171"/>
    <w:rsid w:val="0033655F"/>
    <w:rsid w:val="003724D3"/>
    <w:rsid w:val="00373AC7"/>
    <w:rsid w:val="003800D5"/>
    <w:rsid w:val="00394BD8"/>
    <w:rsid w:val="003A463E"/>
    <w:rsid w:val="003D1607"/>
    <w:rsid w:val="003D21F6"/>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2C4F"/>
    <w:rsid w:val="004A46B1"/>
    <w:rsid w:val="004C16F2"/>
    <w:rsid w:val="004C17D5"/>
    <w:rsid w:val="004C1B7C"/>
    <w:rsid w:val="004C77BE"/>
    <w:rsid w:val="004E4CBB"/>
    <w:rsid w:val="004E6DFC"/>
    <w:rsid w:val="00506AFA"/>
    <w:rsid w:val="0051113A"/>
    <w:rsid w:val="0051253B"/>
    <w:rsid w:val="00537D9F"/>
    <w:rsid w:val="00540CFF"/>
    <w:rsid w:val="00550C76"/>
    <w:rsid w:val="005514AF"/>
    <w:rsid w:val="005628B4"/>
    <w:rsid w:val="00573907"/>
    <w:rsid w:val="00575640"/>
    <w:rsid w:val="00577814"/>
    <w:rsid w:val="00580902"/>
    <w:rsid w:val="00591D58"/>
    <w:rsid w:val="005A792A"/>
    <w:rsid w:val="005B09D7"/>
    <w:rsid w:val="005B738E"/>
    <w:rsid w:val="005D0E99"/>
    <w:rsid w:val="005D38AC"/>
    <w:rsid w:val="005E2CE5"/>
    <w:rsid w:val="00632B24"/>
    <w:rsid w:val="006358C9"/>
    <w:rsid w:val="0064267B"/>
    <w:rsid w:val="006426D3"/>
    <w:rsid w:val="006525D0"/>
    <w:rsid w:val="00654CC3"/>
    <w:rsid w:val="00671A29"/>
    <w:rsid w:val="00676A05"/>
    <w:rsid w:val="006809D7"/>
    <w:rsid w:val="00681934"/>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DD"/>
    <w:rsid w:val="007666D8"/>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71A4"/>
    <w:rsid w:val="008D21A0"/>
    <w:rsid w:val="008D7491"/>
    <w:rsid w:val="008E309C"/>
    <w:rsid w:val="008E5776"/>
    <w:rsid w:val="008F70F4"/>
    <w:rsid w:val="009016B4"/>
    <w:rsid w:val="00910B2E"/>
    <w:rsid w:val="00917663"/>
    <w:rsid w:val="0092198A"/>
    <w:rsid w:val="00926EA0"/>
    <w:rsid w:val="009344F1"/>
    <w:rsid w:val="009371D5"/>
    <w:rsid w:val="00937481"/>
    <w:rsid w:val="009402DB"/>
    <w:rsid w:val="009432FB"/>
    <w:rsid w:val="009446E6"/>
    <w:rsid w:val="0094498B"/>
    <w:rsid w:val="00945457"/>
    <w:rsid w:val="00951BBF"/>
    <w:rsid w:val="00957FFD"/>
    <w:rsid w:val="0096069B"/>
    <w:rsid w:val="00970959"/>
    <w:rsid w:val="0097405B"/>
    <w:rsid w:val="00974770"/>
    <w:rsid w:val="00977533"/>
    <w:rsid w:val="00986152"/>
    <w:rsid w:val="00991BC2"/>
    <w:rsid w:val="009956E9"/>
    <w:rsid w:val="009975B1"/>
    <w:rsid w:val="009A25F8"/>
    <w:rsid w:val="009A698E"/>
    <w:rsid w:val="009A7C51"/>
    <w:rsid w:val="009B1DAA"/>
    <w:rsid w:val="009B5E0A"/>
    <w:rsid w:val="009D0B43"/>
    <w:rsid w:val="009D0EC8"/>
    <w:rsid w:val="009D288C"/>
    <w:rsid w:val="009E4CD5"/>
    <w:rsid w:val="00A221C9"/>
    <w:rsid w:val="00A25415"/>
    <w:rsid w:val="00A327A4"/>
    <w:rsid w:val="00A46F2D"/>
    <w:rsid w:val="00A54F42"/>
    <w:rsid w:val="00A62C0F"/>
    <w:rsid w:val="00A64091"/>
    <w:rsid w:val="00A64EFD"/>
    <w:rsid w:val="00A7419F"/>
    <w:rsid w:val="00A76935"/>
    <w:rsid w:val="00A81870"/>
    <w:rsid w:val="00A85110"/>
    <w:rsid w:val="00A8553A"/>
    <w:rsid w:val="00A909B5"/>
    <w:rsid w:val="00AA42A5"/>
    <w:rsid w:val="00AB0CB1"/>
    <w:rsid w:val="00AB5479"/>
    <w:rsid w:val="00AB5AA1"/>
    <w:rsid w:val="00AB5C35"/>
    <w:rsid w:val="00AB6783"/>
    <w:rsid w:val="00AC6299"/>
    <w:rsid w:val="00AD4CD3"/>
    <w:rsid w:val="00AE325E"/>
    <w:rsid w:val="00AE4DBD"/>
    <w:rsid w:val="00AE5B80"/>
    <w:rsid w:val="00AF54A1"/>
    <w:rsid w:val="00B00C45"/>
    <w:rsid w:val="00B0350C"/>
    <w:rsid w:val="00B03F26"/>
    <w:rsid w:val="00B16051"/>
    <w:rsid w:val="00B31FCC"/>
    <w:rsid w:val="00B322CA"/>
    <w:rsid w:val="00B32DC1"/>
    <w:rsid w:val="00B43AA7"/>
    <w:rsid w:val="00B4728B"/>
    <w:rsid w:val="00B579B1"/>
    <w:rsid w:val="00B658B8"/>
    <w:rsid w:val="00B82885"/>
    <w:rsid w:val="00B86641"/>
    <w:rsid w:val="00BA027D"/>
    <w:rsid w:val="00BA7E6C"/>
    <w:rsid w:val="00BB3526"/>
    <w:rsid w:val="00BB3CBF"/>
    <w:rsid w:val="00BB4400"/>
    <w:rsid w:val="00BB5D89"/>
    <w:rsid w:val="00BC38C7"/>
    <w:rsid w:val="00BE679E"/>
    <w:rsid w:val="00BF7254"/>
    <w:rsid w:val="00C01F57"/>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B7F"/>
    <w:rsid w:val="00D833F0"/>
    <w:rsid w:val="00DB0C6F"/>
    <w:rsid w:val="00DB1C30"/>
    <w:rsid w:val="00DB23E2"/>
    <w:rsid w:val="00DB71F8"/>
    <w:rsid w:val="00DC10E5"/>
    <w:rsid w:val="00DC2ED1"/>
    <w:rsid w:val="00DC3418"/>
    <w:rsid w:val="00DD4360"/>
    <w:rsid w:val="00DE7232"/>
    <w:rsid w:val="00DF4CB9"/>
    <w:rsid w:val="00E0084D"/>
    <w:rsid w:val="00E11605"/>
    <w:rsid w:val="00E31F5C"/>
    <w:rsid w:val="00E34333"/>
    <w:rsid w:val="00E40041"/>
    <w:rsid w:val="00E54949"/>
    <w:rsid w:val="00E631B7"/>
    <w:rsid w:val="00E65307"/>
    <w:rsid w:val="00E6705A"/>
    <w:rsid w:val="00EA2841"/>
    <w:rsid w:val="00EA3400"/>
    <w:rsid w:val="00EA3C3A"/>
    <w:rsid w:val="00EB7579"/>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14:docId w14:val="75993CC4"/>
  <w15:chartTrackingRefBased/>
  <w15:docId w15:val="{176DF05B-CCA1-4E12-818D-7EF27E5C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64CAC-81CB-4E54-8B72-F0564E3C994D}"/>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DAA9693D-B4DC-4BC2-BBA3-5DB3E56C61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64594</Words>
  <Characters>368191</Characters>
  <Application>Microsoft Office Word</Application>
  <DocSecurity>0</DocSecurity>
  <Lines>3068</Lines>
  <Paragraphs>863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2</cp:revision>
  <dcterms:created xsi:type="dcterms:W3CDTF">2025-03-31T03:23:00Z</dcterms:created>
  <dcterms:modified xsi:type="dcterms:W3CDTF">2025-03-31T03:23:00Z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